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29B" w14:textId="7D36680A" w:rsidR="004228D4" w:rsidRPr="00AA45B3" w:rsidRDefault="00067F83" w:rsidP="0003305B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noProof/>
          <w:lang w:eastAsia="fr-FR"/>
        </w:rPr>
        <w:drawing>
          <wp:inline distT="0" distB="0" distL="0" distR="0" wp14:anchorId="35991A29" wp14:editId="4D8D5E9A">
            <wp:extent cx="5760720" cy="1527175"/>
            <wp:effectExtent l="19050" t="0" r="0" b="0"/>
            <wp:docPr id="4" name="Image 3" descr="Bandeau let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lett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CB9B" w14:textId="4CB1021C" w:rsidR="008C5180" w:rsidRDefault="00CD647A" w:rsidP="001C23D4">
      <w:pPr>
        <w:tabs>
          <w:tab w:val="left" w:pos="10206"/>
        </w:tabs>
        <w:spacing w:after="0" w:line="240" w:lineRule="auto"/>
        <w:ind w:right="260"/>
        <w:rPr>
          <w:b/>
        </w:rPr>
      </w:pPr>
      <w:r>
        <w:rPr>
          <w:b/>
        </w:rPr>
        <w:t>Lettre</w:t>
      </w:r>
      <w:r w:rsidR="002E6E87">
        <w:rPr>
          <w:b/>
        </w:rPr>
        <w:t xml:space="preserve"> n° </w:t>
      </w:r>
      <w:r w:rsidR="000E05D1">
        <w:rPr>
          <w:b/>
        </w:rPr>
        <w:t>5</w:t>
      </w:r>
      <w:r w:rsidR="000610AD">
        <w:rPr>
          <w:b/>
        </w:rPr>
        <w:t>1</w:t>
      </w:r>
      <w:r w:rsidR="00E80649">
        <w:rPr>
          <w:b/>
        </w:rPr>
        <w:t xml:space="preserve">     </w:t>
      </w:r>
      <w:r w:rsidR="00E80649" w:rsidRPr="001E5D99">
        <w:rPr>
          <w:b/>
          <w:color w:val="FF0000"/>
        </w:rPr>
        <w:t xml:space="preserve">   </w:t>
      </w:r>
      <w:r w:rsidR="00986D50">
        <w:rPr>
          <w:b/>
        </w:rPr>
        <w:t xml:space="preserve">                 </w:t>
      </w:r>
      <w:r w:rsidR="00E80649">
        <w:rPr>
          <w:b/>
        </w:rPr>
        <w:t xml:space="preserve">                                                                                                              </w:t>
      </w:r>
      <w:r w:rsidR="006D7045">
        <w:rPr>
          <w:b/>
        </w:rPr>
        <w:t xml:space="preserve">          </w:t>
      </w:r>
      <w:r w:rsidR="00B706CB">
        <w:rPr>
          <w:b/>
        </w:rPr>
        <w:t xml:space="preserve">  </w:t>
      </w:r>
      <w:r w:rsidR="00DA5541">
        <w:rPr>
          <w:b/>
        </w:rPr>
        <w:t xml:space="preserve"> </w:t>
      </w:r>
      <w:r w:rsidR="000E05D1">
        <w:rPr>
          <w:b/>
        </w:rPr>
        <w:t>2</w:t>
      </w:r>
      <w:r w:rsidR="000610AD">
        <w:rPr>
          <w:b/>
        </w:rPr>
        <w:t>0</w:t>
      </w:r>
      <w:r w:rsidR="0003305B">
        <w:rPr>
          <w:b/>
        </w:rPr>
        <w:t xml:space="preserve"> </w:t>
      </w:r>
      <w:r w:rsidR="000610AD">
        <w:rPr>
          <w:b/>
        </w:rPr>
        <w:t>novem</w:t>
      </w:r>
      <w:r w:rsidR="0003305B">
        <w:rPr>
          <w:b/>
        </w:rPr>
        <w:t>bre 2025</w:t>
      </w:r>
    </w:p>
    <w:p w14:paraId="785DB2AC" w14:textId="0AD10480" w:rsidR="000E05D1" w:rsidRPr="000E05D1" w:rsidRDefault="000E05D1" w:rsidP="000E05D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E05D1">
        <w:rPr>
          <w:rFonts w:ascii="Calibri" w:hAnsi="Calibri" w:cs="Calibri"/>
          <w:b/>
          <w:bCs/>
          <w:color w:val="000000"/>
          <w:sz w:val="22"/>
          <w:szCs w:val="22"/>
        </w:rPr>
        <w:t>L</w:t>
      </w:r>
      <w:r w:rsidR="000610AD">
        <w:rPr>
          <w:rFonts w:ascii="Calibri" w:hAnsi="Calibri" w:cs="Calibri"/>
          <w:b/>
          <w:bCs/>
          <w:color w:val="000000"/>
          <w:sz w:val="22"/>
          <w:szCs w:val="22"/>
        </w:rPr>
        <w:t>e risque de criticité dans les installations nucléaires</w:t>
      </w:r>
    </w:p>
    <w:p w14:paraId="3D9C6719" w14:textId="77777777" w:rsidR="000E05D1" w:rsidRPr="000E05D1" w:rsidRDefault="000E05D1" w:rsidP="000E0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962EB2" w14:textId="7CF65A39" w:rsidR="009E79EF" w:rsidRDefault="000610AD" w:rsidP="000610AD">
      <w:pPr>
        <w:tabs>
          <w:tab w:val="left" w:pos="6804"/>
        </w:tabs>
        <w:spacing w:after="0" w:line="240" w:lineRule="auto"/>
        <w:ind w:right="401"/>
        <w:jc w:val="both"/>
        <w:rPr>
          <w:rFonts w:eastAsia="Times New Roman" w:cstheme="minorHAnsi"/>
          <w:bCs/>
          <w:lang w:bidi="en-US"/>
        </w:rPr>
      </w:pPr>
      <w:r w:rsidRPr="000610AD">
        <w:rPr>
          <w:rFonts w:eastAsia="Times New Roman" w:cstheme="minorHAnsi"/>
          <w:bCs/>
          <w:lang w:bidi="en-US"/>
        </w:rPr>
        <w:t xml:space="preserve">La criticité est une discipline visant à évaluer et à prévenir le risque de déclenchement d’une réaction en chaîne non désirée dans une installation nucléaire. La maîtrise de cette réaction en chaîne constitue une des fonctions de sûreté </w:t>
      </w:r>
      <w:r w:rsidR="009E79EF">
        <w:rPr>
          <w:rFonts w:eastAsia="Times New Roman" w:cstheme="minorHAnsi"/>
          <w:bCs/>
          <w:lang w:bidi="en-US"/>
        </w:rPr>
        <w:t>essentielles</w:t>
      </w:r>
      <w:r w:rsidRPr="000610AD">
        <w:rPr>
          <w:rFonts w:eastAsia="Times New Roman" w:cstheme="minorHAnsi"/>
          <w:bCs/>
          <w:lang w:bidi="en-US"/>
        </w:rPr>
        <w:t xml:space="preserve"> dans les installations nucléaires (réacteurs de puissance, laboratoires et usines du cycle du combustible, transport de matières radioactives). </w:t>
      </w:r>
    </w:p>
    <w:p w14:paraId="4E6A62B4" w14:textId="77777777" w:rsidR="009E79EF" w:rsidRDefault="009E79EF" w:rsidP="000610AD">
      <w:pPr>
        <w:tabs>
          <w:tab w:val="left" w:pos="6804"/>
        </w:tabs>
        <w:spacing w:after="0" w:line="240" w:lineRule="auto"/>
        <w:ind w:right="401"/>
        <w:jc w:val="both"/>
        <w:rPr>
          <w:rFonts w:eastAsia="Times New Roman" w:cstheme="minorHAnsi"/>
          <w:bCs/>
          <w:lang w:bidi="en-US"/>
        </w:rPr>
      </w:pPr>
    </w:p>
    <w:p w14:paraId="0EE2B4C2" w14:textId="62598056" w:rsidR="009E79EF" w:rsidRDefault="000610AD" w:rsidP="000610AD">
      <w:pPr>
        <w:tabs>
          <w:tab w:val="left" w:pos="6804"/>
        </w:tabs>
        <w:spacing w:after="0" w:line="240" w:lineRule="auto"/>
        <w:ind w:right="401"/>
        <w:jc w:val="both"/>
        <w:rPr>
          <w:rFonts w:eastAsia="Times New Roman" w:cstheme="minorHAnsi"/>
          <w:bCs/>
          <w:lang w:bidi="en-US"/>
        </w:rPr>
      </w:pPr>
      <w:r>
        <w:rPr>
          <w:rFonts w:eastAsia="Times New Roman" w:cstheme="minorHAnsi"/>
          <w:bCs/>
          <w:lang w:bidi="en-US"/>
        </w:rPr>
        <w:t xml:space="preserve">Ce risque peut être maîtrisé </w:t>
      </w:r>
      <w:r w:rsidR="009E79EF">
        <w:rPr>
          <w:rFonts w:eastAsia="Times New Roman" w:cstheme="minorHAnsi"/>
          <w:bCs/>
          <w:lang w:bidi="en-US"/>
        </w:rPr>
        <w:t xml:space="preserve">par </w:t>
      </w:r>
      <w:r>
        <w:rPr>
          <w:rFonts w:eastAsia="Times New Roman" w:cstheme="minorHAnsi"/>
          <w:bCs/>
          <w:lang w:bidi="en-US"/>
        </w:rPr>
        <w:t xml:space="preserve">la mise en </w:t>
      </w:r>
      <w:r w:rsidR="009E79EF">
        <w:rPr>
          <w:rFonts w:eastAsia="Times New Roman" w:cstheme="minorHAnsi"/>
          <w:bCs/>
          <w:lang w:bidi="en-US"/>
        </w:rPr>
        <w:t>œuvre</w:t>
      </w:r>
      <w:r>
        <w:rPr>
          <w:rFonts w:eastAsia="Times New Roman" w:cstheme="minorHAnsi"/>
          <w:bCs/>
          <w:lang w:bidi="en-US"/>
        </w:rPr>
        <w:t xml:space="preserve"> de dispositions </w:t>
      </w:r>
      <w:r w:rsidR="00882D7E">
        <w:rPr>
          <w:rFonts w:eastAsia="Times New Roman" w:cstheme="minorHAnsi"/>
          <w:bCs/>
          <w:lang w:bidi="en-US"/>
        </w:rPr>
        <w:t xml:space="preserve">de conception et </w:t>
      </w:r>
      <w:r w:rsidR="009E79EF">
        <w:rPr>
          <w:rFonts w:eastAsia="Times New Roman" w:cstheme="minorHAnsi"/>
          <w:bCs/>
          <w:lang w:bidi="en-US"/>
        </w:rPr>
        <w:t>opérationnelles (cas des installations du cycle du combustible) ou l’utilisation de matériaux neutrophages (cas des réacteurs nucléaires).</w:t>
      </w:r>
    </w:p>
    <w:p w14:paraId="46F74C5A" w14:textId="77777777" w:rsidR="000610AD" w:rsidRPr="000610AD" w:rsidRDefault="000610AD" w:rsidP="000610AD">
      <w:pPr>
        <w:tabs>
          <w:tab w:val="left" w:pos="6804"/>
        </w:tabs>
        <w:spacing w:after="0" w:line="240" w:lineRule="auto"/>
        <w:ind w:right="401"/>
        <w:jc w:val="both"/>
        <w:rPr>
          <w:rFonts w:eastAsia="Times New Roman" w:cstheme="minorHAnsi"/>
          <w:b/>
          <w:lang w:bidi="en-US"/>
        </w:rPr>
      </w:pPr>
    </w:p>
    <w:p w14:paraId="1839002D" w14:textId="7725C150" w:rsidR="000610AD" w:rsidRPr="000610AD" w:rsidRDefault="000610AD" w:rsidP="000610AD">
      <w:pPr>
        <w:tabs>
          <w:tab w:val="left" w:pos="6804"/>
        </w:tabs>
        <w:spacing w:after="0" w:line="240" w:lineRule="auto"/>
        <w:ind w:right="401"/>
        <w:jc w:val="both"/>
        <w:rPr>
          <w:rFonts w:eastAsia="Times New Roman" w:cstheme="minorHAnsi"/>
          <w:bCs/>
          <w:lang w:bidi="en-US"/>
        </w:rPr>
      </w:pPr>
      <w:r w:rsidRPr="000610AD">
        <w:rPr>
          <w:rFonts w:eastAsia="Times New Roman" w:cstheme="minorHAnsi"/>
          <w:bCs/>
          <w:lang w:bidi="en-US"/>
        </w:rPr>
        <w:t>Dans le cadre de cette discipline</w:t>
      </w:r>
      <w:r>
        <w:rPr>
          <w:rFonts w:eastAsia="Times New Roman" w:cstheme="minorHAnsi"/>
          <w:bCs/>
          <w:lang w:bidi="en-US"/>
        </w:rPr>
        <w:t>,</w:t>
      </w:r>
      <w:r w:rsidRPr="000610AD">
        <w:rPr>
          <w:rFonts w:eastAsia="Times New Roman" w:cstheme="minorHAnsi"/>
          <w:bCs/>
          <w:lang w:bidi="en-US"/>
        </w:rPr>
        <w:t xml:space="preserve"> le GAENA a instruit deux nouvelles fiches argumentaires visant :</w:t>
      </w:r>
    </w:p>
    <w:p w14:paraId="5DC882E8" w14:textId="77777777" w:rsidR="000610AD" w:rsidRPr="000610AD" w:rsidRDefault="000610AD" w:rsidP="000610AD">
      <w:pPr>
        <w:tabs>
          <w:tab w:val="left" w:pos="6804"/>
        </w:tabs>
        <w:spacing w:after="0" w:line="240" w:lineRule="auto"/>
        <w:ind w:right="401"/>
        <w:jc w:val="both"/>
        <w:rPr>
          <w:rFonts w:eastAsia="Times New Roman" w:cstheme="minorHAnsi"/>
          <w:bCs/>
          <w:lang w:bidi="en-US"/>
        </w:rPr>
      </w:pPr>
    </w:p>
    <w:p w14:paraId="7052DFD6" w14:textId="77777777" w:rsidR="000610AD" w:rsidRPr="000610AD" w:rsidRDefault="000610AD" w:rsidP="000610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401" w:hanging="284"/>
        <w:jc w:val="both"/>
        <w:rPr>
          <w:rFonts w:eastAsia="Times New Roman" w:cstheme="minorHAnsi"/>
          <w:b/>
          <w:lang w:bidi="en-US"/>
        </w:rPr>
      </w:pPr>
      <w:r w:rsidRPr="000610AD">
        <w:rPr>
          <w:rFonts w:eastAsia="Times New Roman" w:cstheme="minorHAnsi"/>
          <w:bCs/>
          <w:lang w:bidi="en-US"/>
        </w:rPr>
        <w:t>d’une part, à établir les dispositions constructives et d’exploitation</w:t>
      </w:r>
      <w:r w:rsidRPr="000610AD">
        <w:rPr>
          <w:rFonts w:eastAsia="Times New Roman" w:cstheme="minorHAnsi"/>
          <w:b/>
          <w:lang w:bidi="en-US"/>
        </w:rPr>
        <w:t xml:space="preserve"> </w:t>
      </w:r>
      <w:r w:rsidRPr="000610AD">
        <w:rPr>
          <w:rFonts w:eastAsia="Times New Roman" w:cstheme="minorHAnsi"/>
          <w:bCs/>
          <w:lang w:bidi="en-US"/>
        </w:rPr>
        <w:t>permettant de prévenir le déclenchement d’une réaction de fission en chaîne divergente en présence de matières fissiles.</w:t>
      </w:r>
    </w:p>
    <w:p w14:paraId="3662019D" w14:textId="6112D9F8" w:rsidR="000610AD" w:rsidRPr="000610AD" w:rsidRDefault="000610AD" w:rsidP="009E79EF">
      <w:pPr>
        <w:tabs>
          <w:tab w:val="left" w:pos="284"/>
        </w:tabs>
        <w:spacing w:before="80" w:after="0" w:line="240" w:lineRule="auto"/>
        <w:ind w:left="284" w:right="401"/>
        <w:jc w:val="both"/>
        <w:rPr>
          <w:rFonts w:eastAsia="Times New Roman" w:cstheme="minorHAnsi"/>
          <w:bCs/>
          <w:lang w:bidi="en-US"/>
        </w:rPr>
      </w:pPr>
      <w:r w:rsidRPr="000610AD">
        <w:rPr>
          <w:rFonts w:eastAsia="Times New Roman" w:cstheme="minorHAnsi"/>
          <w:bCs/>
          <w:lang w:bidi="en-US"/>
        </w:rPr>
        <w:t xml:space="preserve">Il s’agit de la fiche </w:t>
      </w:r>
      <w:hyperlink r:id="rId9" w:history="1">
        <w:r w:rsidRPr="00AC5564">
          <w:rPr>
            <w:rStyle w:val="Lienhypertexte"/>
            <w:rFonts w:eastAsia="Times New Roman" w:cstheme="minorHAnsi"/>
            <w:b/>
            <w:lang w:bidi="en-US"/>
          </w:rPr>
          <w:t>GAENA « Qu’est</w:t>
        </w:r>
        <w:r w:rsidR="00AC5564" w:rsidRPr="00AC5564">
          <w:rPr>
            <w:rStyle w:val="Lienhypertexte"/>
            <w:rFonts w:eastAsia="Times New Roman" w:cstheme="minorHAnsi"/>
            <w:b/>
            <w:lang w:bidi="en-US"/>
          </w:rPr>
          <w:t>-</w:t>
        </w:r>
        <w:r w:rsidRPr="00AC5564">
          <w:rPr>
            <w:rStyle w:val="Lienhypertexte"/>
            <w:rFonts w:eastAsia="Times New Roman" w:cstheme="minorHAnsi"/>
            <w:b/>
            <w:lang w:bidi="en-US"/>
          </w:rPr>
          <w:t>ce que la criticité nucléaire ?</w:t>
        </w:r>
        <w:r w:rsidRPr="00AC5564">
          <w:rPr>
            <w:rStyle w:val="Lienhypertexte"/>
            <w:rFonts w:eastAsia="Times New Roman" w:cstheme="minorHAnsi"/>
            <w:bCs/>
            <w:lang w:bidi="en-US"/>
          </w:rPr>
          <w:t> »</w:t>
        </w:r>
      </w:hyperlink>
    </w:p>
    <w:p w14:paraId="68E4BB06" w14:textId="77777777" w:rsidR="000610AD" w:rsidRPr="000610AD" w:rsidRDefault="000610AD" w:rsidP="000610AD">
      <w:pPr>
        <w:tabs>
          <w:tab w:val="left" w:pos="284"/>
        </w:tabs>
        <w:spacing w:after="0" w:line="240" w:lineRule="auto"/>
        <w:ind w:left="284" w:right="401"/>
        <w:jc w:val="both"/>
        <w:rPr>
          <w:rFonts w:eastAsia="Times New Roman" w:cstheme="minorHAnsi"/>
          <w:b/>
          <w:lang w:bidi="en-US"/>
        </w:rPr>
      </w:pPr>
    </w:p>
    <w:p w14:paraId="0A85AB71" w14:textId="37C321FC" w:rsidR="000610AD" w:rsidRDefault="000610AD" w:rsidP="000610AD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401" w:hanging="284"/>
        <w:jc w:val="both"/>
        <w:rPr>
          <w:rFonts w:eastAsia="Times New Roman" w:cstheme="minorHAnsi"/>
          <w:bCs/>
          <w:lang w:bidi="en-US"/>
        </w:rPr>
      </w:pPr>
      <w:r w:rsidRPr="000610AD">
        <w:rPr>
          <w:rFonts w:eastAsia="Times New Roman" w:cstheme="minorHAnsi"/>
          <w:bCs/>
          <w:lang w:bidi="en-US"/>
        </w:rPr>
        <w:t xml:space="preserve">d’autre part, à identifier les causes et les conséquences d’un accident de criticité </w:t>
      </w:r>
      <w:r w:rsidR="009E79EF">
        <w:rPr>
          <w:rFonts w:eastAsia="Times New Roman" w:cstheme="minorHAnsi"/>
          <w:bCs/>
          <w:lang w:bidi="en-US"/>
        </w:rPr>
        <w:t xml:space="preserve">majeur </w:t>
      </w:r>
      <w:r w:rsidRPr="000610AD">
        <w:rPr>
          <w:rFonts w:eastAsia="Times New Roman" w:cstheme="minorHAnsi"/>
          <w:bCs/>
          <w:lang w:bidi="en-US"/>
        </w:rPr>
        <w:t>survenu à Tokai- Mura, en Japon le 30 septembre 1999, classé au niveau 4 de l’échelle INES.</w:t>
      </w:r>
    </w:p>
    <w:p w14:paraId="29E7D0F7" w14:textId="074100CA" w:rsidR="000610AD" w:rsidRPr="000610AD" w:rsidRDefault="009E79EF" w:rsidP="009E79EF">
      <w:pPr>
        <w:tabs>
          <w:tab w:val="left" w:pos="284"/>
        </w:tabs>
        <w:spacing w:before="80" w:after="0" w:line="240" w:lineRule="auto"/>
        <w:ind w:right="401"/>
        <w:jc w:val="both"/>
        <w:rPr>
          <w:rFonts w:eastAsia="Times New Roman" w:cstheme="minorHAnsi"/>
          <w:b/>
          <w:color w:val="0070C0"/>
          <w:lang w:bidi="en-US"/>
        </w:rPr>
      </w:pPr>
      <w:r>
        <w:rPr>
          <w:rFonts w:eastAsia="Times New Roman" w:cstheme="minorHAnsi"/>
          <w:bCs/>
          <w:lang w:bidi="en-US"/>
        </w:rPr>
        <w:tab/>
      </w:r>
      <w:r w:rsidR="000610AD" w:rsidRPr="000610AD">
        <w:rPr>
          <w:rFonts w:eastAsia="Times New Roman" w:cstheme="minorHAnsi"/>
          <w:bCs/>
          <w:lang w:bidi="en-US"/>
        </w:rPr>
        <w:t xml:space="preserve">Il s’agit de la fiche </w:t>
      </w:r>
      <w:hyperlink r:id="rId10" w:history="1">
        <w:r w:rsidR="000610AD" w:rsidRPr="00AC5564">
          <w:rPr>
            <w:rStyle w:val="Lienhypertexte"/>
            <w:rFonts w:eastAsia="Times New Roman" w:cstheme="minorHAnsi"/>
            <w:b/>
            <w:lang w:bidi="en-US"/>
          </w:rPr>
          <w:t>GAENA « Accident de criticité de Tokai-Mura »</w:t>
        </w:r>
      </w:hyperlink>
      <w:r w:rsidR="000610AD" w:rsidRPr="000610AD">
        <w:rPr>
          <w:rFonts w:eastAsia="Times New Roman" w:cstheme="minorHAnsi"/>
          <w:b/>
          <w:color w:val="1C07B9"/>
          <w:lang w:bidi="en-US"/>
        </w:rPr>
        <w:t>. </w:t>
      </w:r>
    </w:p>
    <w:p w14:paraId="022CD5CE" w14:textId="72E2C19C" w:rsidR="001C23D4" w:rsidRPr="00253820" w:rsidRDefault="001C23D4" w:rsidP="009E79EF">
      <w:pPr>
        <w:spacing w:before="80" w:after="0" w:line="240" w:lineRule="auto"/>
        <w:ind w:right="-306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672B7735" w14:textId="77777777" w:rsidR="001C23D4" w:rsidRPr="0003305B" w:rsidRDefault="001C23D4" w:rsidP="00601EB4">
      <w:pPr>
        <w:spacing w:after="0" w:line="240" w:lineRule="auto"/>
        <w:rPr>
          <w:rFonts w:ascii="Calibri" w:eastAsia="Times New Roman" w:hAnsi="Calibri" w:cs="Calibri"/>
          <w:b/>
          <w:bCs/>
          <w:lang w:eastAsia="fr-FR"/>
        </w:rPr>
      </w:pPr>
    </w:p>
    <w:p w14:paraId="1F1C885C" w14:textId="2B1505A2" w:rsidR="00B27305" w:rsidRPr="00B27305" w:rsidRDefault="00B27305" w:rsidP="0003305B">
      <w:pPr>
        <w:spacing w:after="0" w:line="240" w:lineRule="auto"/>
        <w:jc w:val="center"/>
        <w:rPr>
          <w:rFonts w:cstheme="minorHAnsi"/>
          <w:b/>
          <w:bCs/>
          <w:color w:val="3840DC"/>
        </w:rPr>
      </w:pPr>
      <w:r w:rsidRPr="00D65B34">
        <w:rPr>
          <w:rFonts w:ascii="Calibri" w:hAnsi="Calibri" w:cs="Calibri"/>
          <w:lang w:val="it-IT"/>
        </w:rPr>
        <w:t xml:space="preserve">Le GAENA : </w:t>
      </w:r>
      <w:hyperlink r:id="rId11" w:history="1">
        <w:r w:rsidR="00AC5564">
          <w:rPr>
            <w:rStyle w:val="Lienhypertexte"/>
            <w:rFonts w:ascii="Calibri" w:hAnsi="Calibri" w:cs="Calibri"/>
            <w:b/>
            <w:lang w:val="it-IT"/>
            <w14:textFill>
              <w14:gradFill>
                <w14:gsLst>
                  <w14:gs w14:pos="0">
                    <w14:srgbClr w14:val="0033CC">
                      <w14:shade w14:val="30000"/>
                      <w14:satMod w14:val="115000"/>
                    </w14:srgbClr>
                  </w14:gs>
                  <w14:gs w14:pos="50000">
                    <w14:srgbClr w14:val="0033CC">
                      <w14:shade w14:val="67500"/>
                      <w14:satMod w14:val="115000"/>
                    </w14:srgbClr>
                  </w14:gs>
                  <w14:gs w14:pos="100000">
                    <w14:srgbClr w14:val="0033CC">
                      <w14:shade w14:val="100000"/>
                      <w14:satMod w14:val="115000"/>
                    </w14:srgbClr>
                  </w14:gs>
                </w14:gsLst>
                <w14:lin w14:ang="8100000" w14:scaled="0"/>
              </w14:gradFill>
            </w14:textFill>
          </w:rPr>
          <w:t>https://www.energethique.com/</w:t>
        </w:r>
      </w:hyperlink>
    </w:p>
    <w:sectPr w:rsidR="00B27305" w:rsidRPr="00B27305" w:rsidSect="00B00AAE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6322" w14:textId="77777777" w:rsidR="001E0102" w:rsidRDefault="001E0102" w:rsidP="006D7045">
      <w:pPr>
        <w:spacing w:after="0" w:line="240" w:lineRule="auto"/>
      </w:pPr>
      <w:r>
        <w:separator/>
      </w:r>
    </w:p>
  </w:endnote>
  <w:endnote w:type="continuationSeparator" w:id="0">
    <w:p w14:paraId="38FD9269" w14:textId="77777777" w:rsidR="001E0102" w:rsidRDefault="001E0102" w:rsidP="006D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A42A" w14:textId="77777777" w:rsidR="001E0102" w:rsidRDefault="001E0102" w:rsidP="006D7045">
      <w:pPr>
        <w:spacing w:after="0" w:line="240" w:lineRule="auto"/>
      </w:pPr>
      <w:r>
        <w:separator/>
      </w:r>
    </w:p>
  </w:footnote>
  <w:footnote w:type="continuationSeparator" w:id="0">
    <w:p w14:paraId="41FEAD02" w14:textId="77777777" w:rsidR="001E0102" w:rsidRDefault="001E0102" w:rsidP="006D7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822"/>
    <w:multiLevelType w:val="hybridMultilevel"/>
    <w:tmpl w:val="89B6AF5E"/>
    <w:lvl w:ilvl="0" w:tplc="6712AF1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712C03"/>
    <w:multiLevelType w:val="hybridMultilevel"/>
    <w:tmpl w:val="32927F8E"/>
    <w:lvl w:ilvl="0" w:tplc="5D7277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7308"/>
    <w:multiLevelType w:val="hybridMultilevel"/>
    <w:tmpl w:val="85360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6691B"/>
    <w:multiLevelType w:val="multilevel"/>
    <w:tmpl w:val="1A6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C7670"/>
    <w:multiLevelType w:val="hybridMultilevel"/>
    <w:tmpl w:val="B044BB5C"/>
    <w:lvl w:ilvl="0" w:tplc="5DE48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756D5"/>
    <w:multiLevelType w:val="hybridMultilevel"/>
    <w:tmpl w:val="9FB8D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C623A"/>
    <w:multiLevelType w:val="hybridMultilevel"/>
    <w:tmpl w:val="0DBE7CA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DF64B2"/>
    <w:multiLevelType w:val="hybridMultilevel"/>
    <w:tmpl w:val="95EC1618"/>
    <w:lvl w:ilvl="0" w:tplc="1D243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13"/>
    <w:rsid w:val="0003305B"/>
    <w:rsid w:val="000610AD"/>
    <w:rsid w:val="00062CB9"/>
    <w:rsid w:val="000662AA"/>
    <w:rsid w:val="00067F83"/>
    <w:rsid w:val="00071C64"/>
    <w:rsid w:val="000836D2"/>
    <w:rsid w:val="00087EFA"/>
    <w:rsid w:val="000B0B18"/>
    <w:rsid w:val="000D4E6F"/>
    <w:rsid w:val="000E05D1"/>
    <w:rsid w:val="000E2C99"/>
    <w:rsid w:val="000F5BF4"/>
    <w:rsid w:val="00100703"/>
    <w:rsid w:val="00173202"/>
    <w:rsid w:val="00175111"/>
    <w:rsid w:val="001928D5"/>
    <w:rsid w:val="001A08BF"/>
    <w:rsid w:val="001A2D67"/>
    <w:rsid w:val="001A4336"/>
    <w:rsid w:val="001B18EA"/>
    <w:rsid w:val="001C23D4"/>
    <w:rsid w:val="001E0102"/>
    <w:rsid w:val="001E5D99"/>
    <w:rsid w:val="001F36FE"/>
    <w:rsid w:val="001F3FE3"/>
    <w:rsid w:val="001F498F"/>
    <w:rsid w:val="0020329D"/>
    <w:rsid w:val="00205931"/>
    <w:rsid w:val="00216F90"/>
    <w:rsid w:val="00240576"/>
    <w:rsid w:val="0024129F"/>
    <w:rsid w:val="00242187"/>
    <w:rsid w:val="00245415"/>
    <w:rsid w:val="00253820"/>
    <w:rsid w:val="00255D3D"/>
    <w:rsid w:val="00261297"/>
    <w:rsid w:val="002661A7"/>
    <w:rsid w:val="00267413"/>
    <w:rsid w:val="0029166B"/>
    <w:rsid w:val="002A582C"/>
    <w:rsid w:val="002A7072"/>
    <w:rsid w:val="002A7E1F"/>
    <w:rsid w:val="002D1119"/>
    <w:rsid w:val="002E124E"/>
    <w:rsid w:val="002E6E87"/>
    <w:rsid w:val="002E7FCB"/>
    <w:rsid w:val="002F441C"/>
    <w:rsid w:val="002F749B"/>
    <w:rsid w:val="00311621"/>
    <w:rsid w:val="0033594A"/>
    <w:rsid w:val="00342877"/>
    <w:rsid w:val="00362CCD"/>
    <w:rsid w:val="003663A3"/>
    <w:rsid w:val="003706C5"/>
    <w:rsid w:val="00374C09"/>
    <w:rsid w:val="003869A4"/>
    <w:rsid w:val="003939BB"/>
    <w:rsid w:val="0039546C"/>
    <w:rsid w:val="00396B4B"/>
    <w:rsid w:val="003B3698"/>
    <w:rsid w:val="003E6D5A"/>
    <w:rsid w:val="003F20CD"/>
    <w:rsid w:val="003F63D4"/>
    <w:rsid w:val="00404DC0"/>
    <w:rsid w:val="00414EE3"/>
    <w:rsid w:val="004213FF"/>
    <w:rsid w:val="004228D4"/>
    <w:rsid w:val="00431CA2"/>
    <w:rsid w:val="00446824"/>
    <w:rsid w:val="00446D94"/>
    <w:rsid w:val="004629B1"/>
    <w:rsid w:val="00467E16"/>
    <w:rsid w:val="00483140"/>
    <w:rsid w:val="004A035B"/>
    <w:rsid w:val="004A32FE"/>
    <w:rsid w:val="004A5D35"/>
    <w:rsid w:val="004A7356"/>
    <w:rsid w:val="004C1CE1"/>
    <w:rsid w:val="004C3F5C"/>
    <w:rsid w:val="004E670A"/>
    <w:rsid w:val="004E7BC5"/>
    <w:rsid w:val="004F2AA4"/>
    <w:rsid w:val="0051238A"/>
    <w:rsid w:val="00514FC9"/>
    <w:rsid w:val="00516744"/>
    <w:rsid w:val="00530E82"/>
    <w:rsid w:val="00533BB9"/>
    <w:rsid w:val="0057245A"/>
    <w:rsid w:val="0057723A"/>
    <w:rsid w:val="0059797B"/>
    <w:rsid w:val="005A17BA"/>
    <w:rsid w:val="005E17EF"/>
    <w:rsid w:val="006006DB"/>
    <w:rsid w:val="00601EB4"/>
    <w:rsid w:val="00613952"/>
    <w:rsid w:val="00615708"/>
    <w:rsid w:val="006466F5"/>
    <w:rsid w:val="00657596"/>
    <w:rsid w:val="00672388"/>
    <w:rsid w:val="006773A1"/>
    <w:rsid w:val="00681B09"/>
    <w:rsid w:val="00693508"/>
    <w:rsid w:val="006A675F"/>
    <w:rsid w:val="006C74C0"/>
    <w:rsid w:val="006D0EC5"/>
    <w:rsid w:val="006D4FCC"/>
    <w:rsid w:val="006D56FA"/>
    <w:rsid w:val="006D6CA0"/>
    <w:rsid w:val="006D7045"/>
    <w:rsid w:val="006F62A1"/>
    <w:rsid w:val="006F723E"/>
    <w:rsid w:val="007128DD"/>
    <w:rsid w:val="007157BC"/>
    <w:rsid w:val="0072770D"/>
    <w:rsid w:val="007341C6"/>
    <w:rsid w:val="0073636E"/>
    <w:rsid w:val="007444EF"/>
    <w:rsid w:val="00765746"/>
    <w:rsid w:val="007723C2"/>
    <w:rsid w:val="00772A5B"/>
    <w:rsid w:val="007813FA"/>
    <w:rsid w:val="007956AE"/>
    <w:rsid w:val="007B154C"/>
    <w:rsid w:val="007B2622"/>
    <w:rsid w:val="007B2F5B"/>
    <w:rsid w:val="007D3304"/>
    <w:rsid w:val="007E582A"/>
    <w:rsid w:val="008055C9"/>
    <w:rsid w:val="008209A7"/>
    <w:rsid w:val="0082244D"/>
    <w:rsid w:val="00840BA8"/>
    <w:rsid w:val="00852BE0"/>
    <w:rsid w:val="00876C8E"/>
    <w:rsid w:val="00882D7E"/>
    <w:rsid w:val="00885D20"/>
    <w:rsid w:val="008A15A6"/>
    <w:rsid w:val="008C5180"/>
    <w:rsid w:val="008D1965"/>
    <w:rsid w:val="008D56F3"/>
    <w:rsid w:val="008E3DCC"/>
    <w:rsid w:val="00914C06"/>
    <w:rsid w:val="009167A4"/>
    <w:rsid w:val="00922B5F"/>
    <w:rsid w:val="0093142B"/>
    <w:rsid w:val="009330B9"/>
    <w:rsid w:val="009746FC"/>
    <w:rsid w:val="00986D50"/>
    <w:rsid w:val="0099242C"/>
    <w:rsid w:val="009A4F38"/>
    <w:rsid w:val="009C580D"/>
    <w:rsid w:val="009D40C0"/>
    <w:rsid w:val="009D6EC6"/>
    <w:rsid w:val="009E0FBD"/>
    <w:rsid w:val="009E62FA"/>
    <w:rsid w:val="009E79EF"/>
    <w:rsid w:val="009F4B75"/>
    <w:rsid w:val="009F4D69"/>
    <w:rsid w:val="009F4E5A"/>
    <w:rsid w:val="00A37046"/>
    <w:rsid w:val="00A47B79"/>
    <w:rsid w:val="00A61FC1"/>
    <w:rsid w:val="00A6315D"/>
    <w:rsid w:val="00A73E17"/>
    <w:rsid w:val="00AA45B3"/>
    <w:rsid w:val="00AA4EBC"/>
    <w:rsid w:val="00AB28D2"/>
    <w:rsid w:val="00AB5CA2"/>
    <w:rsid w:val="00AC16D5"/>
    <w:rsid w:val="00AC5564"/>
    <w:rsid w:val="00AD0086"/>
    <w:rsid w:val="00AE2563"/>
    <w:rsid w:val="00AE34EB"/>
    <w:rsid w:val="00AE3CF1"/>
    <w:rsid w:val="00B00AAE"/>
    <w:rsid w:val="00B27305"/>
    <w:rsid w:val="00B52CD3"/>
    <w:rsid w:val="00B52D87"/>
    <w:rsid w:val="00B706CB"/>
    <w:rsid w:val="00B87877"/>
    <w:rsid w:val="00B929F6"/>
    <w:rsid w:val="00BA0952"/>
    <w:rsid w:val="00BA6FC2"/>
    <w:rsid w:val="00BB2539"/>
    <w:rsid w:val="00BF6A25"/>
    <w:rsid w:val="00C012F9"/>
    <w:rsid w:val="00C01BDF"/>
    <w:rsid w:val="00C01FA0"/>
    <w:rsid w:val="00C10929"/>
    <w:rsid w:val="00C31897"/>
    <w:rsid w:val="00C34A1D"/>
    <w:rsid w:val="00C37B24"/>
    <w:rsid w:val="00C56C66"/>
    <w:rsid w:val="00C630F1"/>
    <w:rsid w:val="00C83BFB"/>
    <w:rsid w:val="00C93B61"/>
    <w:rsid w:val="00C94F6A"/>
    <w:rsid w:val="00CB78AF"/>
    <w:rsid w:val="00CD16B8"/>
    <w:rsid w:val="00CD647A"/>
    <w:rsid w:val="00CE6E01"/>
    <w:rsid w:val="00CF11BC"/>
    <w:rsid w:val="00D0010F"/>
    <w:rsid w:val="00D01603"/>
    <w:rsid w:val="00D059D1"/>
    <w:rsid w:val="00D53FA2"/>
    <w:rsid w:val="00D60678"/>
    <w:rsid w:val="00D63AA7"/>
    <w:rsid w:val="00D65B34"/>
    <w:rsid w:val="00D66DDE"/>
    <w:rsid w:val="00D7156D"/>
    <w:rsid w:val="00D8508F"/>
    <w:rsid w:val="00DA06BC"/>
    <w:rsid w:val="00DA5541"/>
    <w:rsid w:val="00DC5538"/>
    <w:rsid w:val="00DD5BC7"/>
    <w:rsid w:val="00DE396F"/>
    <w:rsid w:val="00DE5B91"/>
    <w:rsid w:val="00DE6E40"/>
    <w:rsid w:val="00DF33A8"/>
    <w:rsid w:val="00E03EB5"/>
    <w:rsid w:val="00E224B4"/>
    <w:rsid w:val="00E47AE7"/>
    <w:rsid w:val="00E514B1"/>
    <w:rsid w:val="00E57B01"/>
    <w:rsid w:val="00E64769"/>
    <w:rsid w:val="00E80649"/>
    <w:rsid w:val="00E86567"/>
    <w:rsid w:val="00E8723E"/>
    <w:rsid w:val="00EA08B7"/>
    <w:rsid w:val="00EB0B9D"/>
    <w:rsid w:val="00EB4ECA"/>
    <w:rsid w:val="00EC6C55"/>
    <w:rsid w:val="00ED0D11"/>
    <w:rsid w:val="00ED6FC5"/>
    <w:rsid w:val="00EE7A62"/>
    <w:rsid w:val="00EF4591"/>
    <w:rsid w:val="00EF5BCF"/>
    <w:rsid w:val="00F05CEE"/>
    <w:rsid w:val="00F15694"/>
    <w:rsid w:val="00F37CEE"/>
    <w:rsid w:val="00F711FF"/>
    <w:rsid w:val="00F97949"/>
    <w:rsid w:val="00FB5DC2"/>
    <w:rsid w:val="00FF15C7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64E3"/>
  <w15:docId w15:val="{7F409EAE-80A5-4471-9584-6631ACB0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b/>
        <w:bCs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D1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6FA"/>
    <w:rPr>
      <w:rFonts w:ascii="Tahoma" w:hAnsi="Tahoma" w:cs="Tahoma"/>
      <w:b w:val="0"/>
      <w:bCs w:val="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723C2"/>
    <w:pPr>
      <w:ind w:left="720"/>
      <w:contextualSpacing/>
    </w:pPr>
    <w:rPr>
      <w:rFonts w:ascii="Arial" w:hAnsi="Arial" w:cs="Times New Roman"/>
      <w:b/>
      <w:bCs/>
      <w:sz w:val="24"/>
      <w:szCs w:val="20"/>
    </w:rPr>
  </w:style>
  <w:style w:type="character" w:styleId="Lienhypertexte">
    <w:name w:val="Hyperlink"/>
    <w:basedOn w:val="Policepardfaut"/>
    <w:uiPriority w:val="99"/>
    <w:unhideWhenUsed/>
    <w:rsid w:val="00E872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FF5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C6C55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A61F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1F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1FC1"/>
    <w:rPr>
      <w:rFonts w:asciiTheme="minorHAnsi" w:hAnsiTheme="minorHAnsi" w:cstheme="minorBidi"/>
      <w:b w:val="0"/>
      <w:bCs w:val="0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1F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1FC1"/>
    <w:rPr>
      <w:rFonts w:asciiTheme="minorHAnsi" w:hAnsiTheme="minorHAnsi" w:cstheme="minorBidi"/>
      <w:b/>
      <w:bCs/>
      <w:sz w:val="20"/>
    </w:rPr>
  </w:style>
  <w:style w:type="character" w:styleId="Accentuation">
    <w:name w:val="Emphasis"/>
    <w:uiPriority w:val="20"/>
    <w:qFormat/>
    <w:rsid w:val="00615708"/>
    <w:rPr>
      <w:i/>
      <w:iCs/>
    </w:rPr>
  </w:style>
  <w:style w:type="character" w:styleId="lev">
    <w:name w:val="Strong"/>
    <w:uiPriority w:val="22"/>
    <w:qFormat/>
    <w:rsid w:val="00615708"/>
    <w:rPr>
      <w:b w:val="0"/>
      <w:bCs w:val="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16B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semiHidden/>
    <w:rsid w:val="006D7045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D7045"/>
    <w:rPr>
      <w:rFonts w:ascii="Times New Roman" w:eastAsia="Times New Roman" w:hAnsi="Times New Roman"/>
      <w:b w:val="0"/>
      <w:bCs w:val="0"/>
      <w:i/>
      <w:iCs/>
      <w:sz w:val="16"/>
      <w:lang w:eastAsia="fr-FR"/>
    </w:rPr>
  </w:style>
  <w:style w:type="character" w:styleId="Appelnotedebasdep">
    <w:name w:val="footnote reference"/>
    <w:semiHidden/>
    <w:rsid w:val="006D7045"/>
    <w:rPr>
      <w:rFonts w:ascii="Times New Roman" w:hAnsi="Times New Roman" w:cs="Times New Roman"/>
      <w:vertAlign w:val="superscript"/>
    </w:rPr>
  </w:style>
  <w:style w:type="paragraph" w:customStyle="1" w:styleId="NormalGASN">
    <w:name w:val="Normal GASN"/>
    <w:basedOn w:val="Normal"/>
    <w:rsid w:val="006D7045"/>
    <w:pPr>
      <w:spacing w:before="120" w:after="0" w:line="240" w:lineRule="auto"/>
      <w:ind w:left="-357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Sansinterligne">
    <w:name w:val="No Spacing"/>
    <w:basedOn w:val="Normal"/>
    <w:link w:val="SansinterligneCar"/>
    <w:uiPriority w:val="1"/>
    <w:qFormat/>
    <w:rsid w:val="00362CC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62CCD"/>
    <w:rPr>
      <w:rFonts w:ascii="Calibri" w:eastAsia="Times New Roman" w:hAnsi="Calibri"/>
      <w:b w:val="0"/>
      <w:bCs w:val="0"/>
      <w:sz w:val="22"/>
      <w:szCs w:val="22"/>
      <w:lang w:val="en-US" w:bidi="en-US"/>
    </w:rPr>
  </w:style>
  <w:style w:type="paragraph" w:customStyle="1" w:styleId="corpsnormal">
    <w:name w:val="corps_normal"/>
    <w:rsid w:val="00BA6FC2"/>
    <w:pPr>
      <w:spacing w:before="60" w:after="60" w:line="240" w:lineRule="auto"/>
      <w:ind w:firstLine="284"/>
      <w:jc w:val="both"/>
    </w:pPr>
    <w:rPr>
      <w:rFonts w:eastAsia="Times New Roman"/>
      <w:b w:val="0"/>
      <w:bCs w:val="0"/>
      <w:sz w:val="20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935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04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gethiqu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ergethique.com/articles.php?lng=fr&amp;pg=16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ergethique.com/articles.php?lng=fr&amp;pg=167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8383-2C60-4248-8230-70D083F3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nanie</dc:creator>
  <cp:lastModifiedBy>GINGOLD Marc</cp:lastModifiedBy>
  <cp:revision>3</cp:revision>
  <cp:lastPrinted>2024-09-09T14:51:00Z</cp:lastPrinted>
  <dcterms:created xsi:type="dcterms:W3CDTF">2025-11-18T08:50:00Z</dcterms:created>
  <dcterms:modified xsi:type="dcterms:W3CDTF">2025-11-21T13:08:00Z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