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18"/>
          <w:szCs w:val="18"/>
        </w:rPr>
      </w:pPr>
      <w:r w:rsidDel="00000000" w:rsidR="00000000" w:rsidRPr="00000000">
        <w:rPr>
          <w:b w:val="1"/>
        </w:rPr>
        <w:drawing>
          <wp:inline distB="0" distT="0" distL="0" distR="0">
            <wp:extent cx="5760720" cy="1527175"/>
            <wp:effectExtent b="0" l="0" r="0" t="0"/>
            <wp:docPr descr="Bandeau lettre.jpg" id="1607355263" name="image1.jpg"/>
            <a:graphic>
              <a:graphicData uri="http://schemas.openxmlformats.org/drawingml/2006/picture">
                <pic:pic>
                  <pic:nvPicPr>
                    <pic:cNvPr descr="Bandeau lettre.jpg" id="0" name="image1.jpg"/>
                    <pic:cNvPicPr preferRelativeResize="0"/>
                  </pic:nvPicPr>
                  <pic:blipFill>
                    <a:blip r:embed="rId8"/>
                    <a:srcRect b="0" l="0" r="0" t="0"/>
                    <a:stretch>
                      <a:fillRect/>
                    </a:stretch>
                  </pic:blipFill>
                  <pic:spPr>
                    <a:xfrm>
                      <a:off x="0" y="0"/>
                      <a:ext cx="5760720" cy="1527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right="-23"/>
        <w:jc w:val="both"/>
        <w:rPr>
          <w:b w:val="1"/>
        </w:rPr>
      </w:pPr>
      <w:r w:rsidDel="00000000" w:rsidR="00000000" w:rsidRPr="00000000">
        <w:rPr>
          <w:b w:val="1"/>
          <w:rtl w:val="0"/>
        </w:rPr>
        <w:t xml:space="preserve">Lettre n° 45      </w:t>
      </w:r>
      <w:r w:rsidDel="00000000" w:rsidR="00000000" w:rsidRPr="00000000">
        <w:rPr>
          <w:b w:val="1"/>
          <w:color w:val="ff0000"/>
          <w:rtl w:val="0"/>
        </w:rPr>
        <w:t xml:space="preserve">   </w:t>
      </w:r>
      <w:r w:rsidDel="00000000" w:rsidR="00000000" w:rsidRPr="00000000">
        <w:rPr>
          <w:b w:val="1"/>
          <w:rtl w:val="0"/>
        </w:rPr>
        <w:t xml:space="preserve">                                                                                                                                                        08 février 2025 </w:t>
      </w:r>
    </w:p>
    <w:p w:rsidR="00000000" w:rsidDel="00000000" w:rsidP="00000000" w:rsidRDefault="00000000" w:rsidRPr="00000000" w14:paraId="00000003">
      <w:pPr>
        <w:jc w:val="center"/>
        <w:rPr/>
      </w:pPr>
      <w:r w:rsidDel="00000000" w:rsidR="00000000" w:rsidRPr="00000000">
        <w:rPr>
          <w:b w:val="1"/>
          <w:sz w:val="30"/>
          <w:szCs w:val="30"/>
          <w:rtl w:val="0"/>
        </w:rPr>
        <w:t xml:space="preserve">Exposition médicale aux rayonnements ionisants</w:t>
      </w:r>
      <w:r w:rsidDel="00000000" w:rsidR="00000000" w:rsidRPr="00000000">
        <w:rPr>
          <w:rtl w:val="0"/>
        </w:rPr>
      </w:r>
    </w:p>
    <w:p w:rsidR="00000000" w:rsidDel="00000000" w:rsidP="00000000" w:rsidRDefault="00000000" w:rsidRPr="00000000" w14:paraId="00000004">
      <w:pPr>
        <w:spacing w:after="0" w:line="240" w:lineRule="auto"/>
        <w:jc w:val="both"/>
        <w:rPr/>
      </w:pPr>
      <w:r w:rsidDel="00000000" w:rsidR="00000000" w:rsidRPr="00000000">
        <w:rPr>
          <w:rtl w:val="0"/>
        </w:rPr>
        <w:t xml:space="preserve">Depuis plus d’un siècle, la médecine fait appel, tant pour le </w:t>
      </w:r>
      <w:r w:rsidDel="00000000" w:rsidR="00000000" w:rsidRPr="00000000">
        <w:rPr>
          <w:b w:val="1"/>
          <w:rtl w:val="0"/>
        </w:rPr>
        <w:t xml:space="preserve">diagnostic</w:t>
      </w:r>
      <w:r w:rsidDel="00000000" w:rsidR="00000000" w:rsidRPr="00000000">
        <w:rPr>
          <w:rtl w:val="0"/>
        </w:rPr>
        <w:t xml:space="preserve"> que pour la </w:t>
      </w:r>
      <w:r w:rsidDel="00000000" w:rsidR="00000000" w:rsidRPr="00000000">
        <w:rPr>
          <w:b w:val="1"/>
          <w:rtl w:val="0"/>
        </w:rPr>
        <w:t xml:space="preserve">thérapie</w:t>
      </w:r>
      <w:r w:rsidDel="00000000" w:rsidR="00000000" w:rsidRPr="00000000">
        <w:rPr>
          <w:rtl w:val="0"/>
        </w:rPr>
        <w:t xml:space="preserve">, à des rayonnements ionisants produits soit par des générateurs électriques soit par des radionucléides en sources scellées ou non scellées.</w:t>
      </w:r>
    </w:p>
    <w:p w:rsidR="00000000" w:rsidDel="00000000" w:rsidP="00000000" w:rsidRDefault="00000000" w:rsidRPr="00000000" w14:paraId="0000000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06">
      <w:pPr>
        <w:spacing w:after="0" w:line="240" w:lineRule="auto"/>
        <w:ind w:right="-5"/>
        <w:jc w:val="both"/>
        <w:rPr>
          <w:color w:val="000000"/>
        </w:rPr>
      </w:pPr>
      <w:r w:rsidDel="00000000" w:rsidR="00000000" w:rsidRPr="00000000">
        <w:rPr>
          <w:b w:val="1"/>
          <w:color w:val="000000"/>
          <w:rtl w:val="0"/>
        </w:rPr>
        <w:t xml:space="preserve">Le radiodiagnostic médical </w:t>
      </w:r>
      <w:r w:rsidDel="00000000" w:rsidR="00000000" w:rsidRPr="00000000">
        <w:rPr>
          <w:color w:val="000000"/>
          <w:rtl w:val="0"/>
        </w:rPr>
        <w:t xml:space="preserve">est fondé sur le principe de l’atténuation différentielle des rayons X dans les organes et tissus du corps humain. Il regroupe toutes les techniques d’exploration morphologique du corps humain utilisant les rayons X produits par des générateurs électriques.</w:t>
      </w:r>
      <w:r w:rsidDel="00000000" w:rsidR="00000000" w:rsidRPr="00000000">
        <w:rPr>
          <w:rtl w:val="0"/>
        </w:rPr>
        <w:t xml:space="preserve"> </w:t>
      </w:r>
      <w:r w:rsidDel="00000000" w:rsidR="00000000" w:rsidRPr="00000000">
        <w:rPr>
          <w:color w:val="000000"/>
          <w:rtl w:val="0"/>
        </w:rPr>
        <w:t xml:space="preserve">Il comprend diverses spécialités (radiologie conventionnelle, radiologie interventionnelle, scanographie, angiographie et mammographie) et une grande variété d’examens (radiographie du thorax, scanner thoraco-abdomino-pelvien…). </w:t>
      </w:r>
    </w:p>
    <w:p w:rsidR="00000000" w:rsidDel="00000000" w:rsidP="00000000" w:rsidRDefault="00000000" w:rsidRPr="00000000" w14:paraId="00000007">
      <w:pPr>
        <w:spacing w:after="0" w:line="240" w:lineRule="auto"/>
        <w:ind w:right="-5"/>
        <w:jc w:val="both"/>
        <w:rPr>
          <w:b w:val="1"/>
          <w:color w:val="000000"/>
          <w:sz w:val="18"/>
          <w:szCs w:val="18"/>
        </w:rPr>
      </w:pPr>
      <w:r w:rsidDel="00000000" w:rsidR="00000000" w:rsidRPr="00000000">
        <w:rPr>
          <w:rtl w:val="0"/>
        </w:rPr>
      </w:r>
    </w:p>
    <w:p w:rsidR="00000000" w:rsidDel="00000000" w:rsidP="00000000" w:rsidRDefault="00000000" w:rsidRPr="00000000" w14:paraId="00000008">
      <w:pPr>
        <w:spacing w:after="0" w:line="240" w:lineRule="auto"/>
        <w:ind w:right="-5"/>
        <w:jc w:val="both"/>
        <w:rPr>
          <w:color w:val="000000"/>
        </w:rPr>
      </w:pPr>
      <w:r w:rsidDel="00000000" w:rsidR="00000000" w:rsidRPr="00000000">
        <w:rPr>
          <w:b w:val="1"/>
          <w:color w:val="000000"/>
          <w:rtl w:val="0"/>
        </w:rPr>
        <w:t xml:space="preserve">La médecine nucléaire</w:t>
      </w:r>
      <w:r w:rsidDel="00000000" w:rsidR="00000000" w:rsidRPr="00000000">
        <w:rPr>
          <w:color w:val="000000"/>
          <w:rtl w:val="0"/>
        </w:rPr>
        <w:t xml:space="preserve"> peut elle aussi faire appel à des techniques d’imagerie grâce à l’administration de substances radioactives par le patient et la réalisation d’images fonctionnelles de la partie du corps humain examinée. Il s’agit par exemple de la scintigraphie ou de la tomographie.</w:t>
      </w:r>
    </w:p>
    <w:p w:rsidR="00000000" w:rsidDel="00000000" w:rsidP="00000000" w:rsidRDefault="00000000" w:rsidRPr="00000000" w14:paraId="00000009">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0A">
      <w:pPr>
        <w:spacing w:after="0" w:line="240" w:lineRule="auto"/>
        <w:jc w:val="both"/>
        <w:rPr>
          <w:color w:val="000000"/>
        </w:rPr>
      </w:pPr>
      <w:r w:rsidDel="00000000" w:rsidR="00000000" w:rsidRPr="00000000">
        <w:rPr>
          <w:b w:val="1"/>
          <w:color w:val="000000"/>
          <w:rtl w:val="0"/>
        </w:rPr>
        <w:t xml:space="preserve">La radiothérapie et la curiethérapie</w:t>
      </w:r>
      <w:r w:rsidDel="00000000" w:rsidR="00000000" w:rsidRPr="00000000">
        <w:rPr>
          <w:color w:val="000000"/>
          <w:rtl w:val="0"/>
        </w:rPr>
        <w:t xml:space="preserve"> constituent, avec la chirurgie et la chimiothérapie, des techniques majeures employées pour le traitement des tumeurs cancéreuses. Les rayonnements ionisants nécessaires pour la réalisation des traitements sont produits par un générateur électrique ou émis par des radionucléides sous forme scellée.</w:t>
      </w:r>
    </w:p>
    <w:p w:rsidR="00000000" w:rsidDel="00000000" w:rsidP="00000000" w:rsidRDefault="00000000" w:rsidRPr="00000000" w14:paraId="0000000B">
      <w:pPr>
        <w:spacing w:after="0" w:line="240" w:lineRule="auto"/>
        <w:jc w:val="both"/>
        <w:rPr>
          <w:color w:val="000000"/>
          <w:sz w:val="18"/>
          <w:szCs w:val="18"/>
        </w:rPr>
      </w:pP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t xml:space="preserve">La version révisée de la </w:t>
      </w:r>
      <w:r w:rsidDel="00000000" w:rsidR="00000000" w:rsidRPr="00000000">
        <w:rPr>
          <w:b w:val="1"/>
          <w:color w:val="341bf1"/>
          <w:rtl w:val="0"/>
        </w:rPr>
        <w:t xml:space="preserve">Fiche argumentaire GAENA « Exposition médicales aux rayonnements ionisants</w:t>
      </w:r>
      <w:r w:rsidDel="00000000" w:rsidR="00000000" w:rsidRPr="00000000">
        <w:rPr>
          <w:color w:val="341bf1"/>
          <w:rtl w:val="0"/>
        </w:rPr>
        <w:t xml:space="preserve"> »</w:t>
      </w:r>
      <w:r w:rsidDel="00000000" w:rsidR="00000000" w:rsidRPr="00000000">
        <w:rPr>
          <w:color w:val="0070c0"/>
          <w:rtl w:val="0"/>
        </w:rPr>
        <w:t xml:space="preserve"> </w:t>
      </w:r>
      <w:r w:rsidDel="00000000" w:rsidR="00000000" w:rsidRPr="00000000">
        <w:rPr>
          <w:rtl w:val="0"/>
        </w:rPr>
        <w:t xml:space="preserve">explicite ces différentes techniques. </w:t>
      </w:r>
    </w:p>
    <w:p w:rsidR="00000000" w:rsidDel="00000000" w:rsidP="00000000" w:rsidRDefault="00000000" w:rsidRPr="00000000" w14:paraId="0000000D">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Le CEA Saclay a développé depuis une dizaine d’année une </w:t>
      </w:r>
      <w:r w:rsidDel="00000000" w:rsidR="00000000" w:rsidRPr="00000000">
        <w:rPr>
          <w:b w:val="1"/>
          <w:rtl w:val="0"/>
        </w:rPr>
        <w:t xml:space="preserve">plateforme DOSEO</w:t>
      </w:r>
      <w:r w:rsidDel="00000000" w:rsidR="00000000" w:rsidRPr="00000000">
        <w:rPr>
          <w:rtl w:val="0"/>
        </w:rPr>
        <w:t xml:space="preserve"> dans un objectif d’apporter une contribution à l’utilisation des rayonnements ionisants dans le domaine médical, plus particulièrement en radiothérapie et en imagerie. Cette plateforme est exploitée par le Département </w:t>
      </w:r>
      <w:r w:rsidDel="00000000" w:rsidR="00000000" w:rsidRPr="00000000">
        <w:rPr>
          <w:i w:val="1"/>
          <w:rtl w:val="0"/>
        </w:rPr>
        <w:t xml:space="preserve">Métrologie Instrumentation et Information</w:t>
      </w:r>
      <w:r w:rsidDel="00000000" w:rsidR="00000000" w:rsidRPr="00000000">
        <w:rPr>
          <w:rtl w:val="0"/>
        </w:rPr>
        <w:t xml:space="preserve">, appartenant à l’institut CEA – LIST. Elle est adossée au LNHB-MD</w:t>
      </w:r>
      <w:r w:rsidDel="00000000" w:rsidR="00000000" w:rsidRPr="00000000">
        <w:rPr>
          <w:rFonts w:ascii="Arial" w:cs="Arial" w:eastAsia="Arial" w:hAnsi="Arial"/>
          <w:i w:val="1"/>
          <w:color w:val="000000"/>
          <w:vertAlign w:val="superscript"/>
        </w:rPr>
        <w:footnoteReference w:customMarkFollows="0" w:id="0"/>
      </w:r>
      <w:r w:rsidDel="00000000" w:rsidR="00000000" w:rsidRPr="00000000">
        <w:rPr>
          <w:rFonts w:ascii="Arial" w:cs="Arial" w:eastAsia="Arial" w:hAnsi="Arial"/>
          <w:sz w:val="20"/>
          <w:szCs w:val="20"/>
          <w:rtl w:val="0"/>
        </w:rPr>
        <w:t xml:space="preserve">, constituant le </w:t>
      </w:r>
      <w:r w:rsidDel="00000000" w:rsidR="00000000" w:rsidRPr="00000000">
        <w:rPr>
          <w:b w:val="1"/>
          <w:rtl w:val="0"/>
        </w:rPr>
        <w:t xml:space="preserve">laboratoire primaire</w:t>
      </w:r>
      <w:r w:rsidDel="00000000" w:rsidR="00000000" w:rsidRPr="00000000">
        <w:rPr>
          <w:rtl w:val="0"/>
        </w:rPr>
        <w:t xml:space="preserve"> national habilité pour la dosimétrie des rayonnements ionisants.</w:t>
      </w:r>
    </w:p>
    <w:p w:rsidR="00000000" w:rsidDel="00000000" w:rsidP="00000000" w:rsidRDefault="00000000" w:rsidRPr="00000000" w14:paraId="0000000F">
      <w:pPr>
        <w:spacing w:after="0" w:line="240" w:lineRule="auto"/>
        <w:ind w:right="260"/>
        <w:jc w:val="both"/>
        <w:rPr>
          <w:sz w:val="18"/>
          <w:szCs w:val="18"/>
        </w:rPr>
      </w:pPr>
      <w:r w:rsidDel="00000000" w:rsidR="00000000" w:rsidRPr="00000000">
        <w:rPr>
          <w:rtl w:val="0"/>
        </w:rPr>
      </w:r>
    </w:p>
    <w:p w:rsidR="00000000" w:rsidDel="00000000" w:rsidP="00000000" w:rsidRDefault="00000000" w:rsidRPr="00000000" w14:paraId="00000010">
      <w:pPr>
        <w:spacing w:after="0" w:line="240" w:lineRule="auto"/>
        <w:jc w:val="both"/>
        <w:rPr/>
      </w:pPr>
      <w:r w:rsidDel="00000000" w:rsidR="00000000" w:rsidRPr="00000000">
        <w:rPr>
          <w:rtl w:val="0"/>
        </w:rPr>
        <w:t xml:space="preserve">La </w:t>
      </w:r>
      <w:r w:rsidDel="00000000" w:rsidR="00000000" w:rsidRPr="00000000">
        <w:rPr>
          <w:b w:val="1"/>
          <w:color w:val="341bf1"/>
          <w:rtl w:val="0"/>
        </w:rPr>
        <w:t xml:space="preserve">Fiche argumentaire GAENA « Plateforme expérimentale DOSEO</w:t>
      </w:r>
      <w:r w:rsidDel="00000000" w:rsidR="00000000" w:rsidRPr="00000000">
        <w:rPr>
          <w:color w:val="341bf1"/>
          <w:rtl w:val="0"/>
        </w:rPr>
        <w:t xml:space="preserve"> </w:t>
      </w:r>
      <w:r w:rsidDel="00000000" w:rsidR="00000000" w:rsidRPr="00000000">
        <w:rPr>
          <w:rtl w:val="0"/>
        </w:rPr>
        <w:t xml:space="preserve">» détaille ces missions. </w:t>
      </w:r>
    </w:p>
    <w:p w:rsidR="00000000" w:rsidDel="00000000" w:rsidP="00000000" w:rsidRDefault="00000000" w:rsidRPr="00000000" w14:paraId="00000011">
      <w:pPr>
        <w:spacing w:after="0" w:line="240" w:lineRule="auto"/>
        <w:jc w:val="both"/>
        <w:rPr/>
      </w:pPr>
      <w:r w:rsidDel="00000000" w:rsidR="00000000" w:rsidRPr="00000000">
        <w:rPr>
          <w:rtl w:val="0"/>
        </w:rPr>
      </w:r>
    </w:p>
    <w:tbl>
      <w:tblPr>
        <w:tblStyle w:val="Table1"/>
        <w:tblW w:w="9279.0" w:type="dxa"/>
        <w:jc w:val="left"/>
        <w:tblInd w:w="9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9"/>
        <w:tblGridChange w:id="0">
          <w:tblGrid>
            <w:gridCol w:w="9279"/>
          </w:tblGrid>
        </w:tblGridChange>
      </w:tblGrid>
      <w:tr>
        <w:trPr>
          <w:cantSplit w:val="0"/>
          <w:tblHeader w:val="0"/>
        </w:trPr>
        <w:tc>
          <w:tcPr/>
          <w:p w:rsidR="00000000" w:rsidDel="00000000" w:rsidP="00000000" w:rsidRDefault="00000000" w:rsidRPr="00000000" w14:paraId="00000012">
            <w:pPr>
              <w:ind w:right="-177" w:hanging="102"/>
              <w:jc w:val="both"/>
              <w:rPr/>
            </w:pPr>
            <w:r w:rsidDel="00000000" w:rsidR="00000000" w:rsidRPr="00000000">
              <w:rPr>
                <w:rFonts w:ascii="Arial" w:cs="Arial" w:eastAsia="Arial" w:hAnsi="Arial"/>
                <w:sz w:val="20"/>
                <w:szCs w:val="20"/>
              </w:rPr>
              <w:drawing>
                <wp:inline distB="0" distT="0" distL="0" distR="0">
                  <wp:extent cx="5827798" cy="2138727"/>
                  <wp:effectExtent b="0" l="0" r="0" t="0"/>
                  <wp:docPr id="160735526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27798" cy="213872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spacing w:after="0" w:line="240" w:lineRule="auto"/>
        <w:rPr>
          <w:b w:val="1"/>
          <w:color w:val="3840dc"/>
          <w:sz w:val="16"/>
          <w:szCs w:val="16"/>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40" w:lineRule="auto"/>
        <w:rPr>
          <w:b w:val="1"/>
          <w:color w:val="3840dc"/>
        </w:rPr>
      </w:pPr>
      <w:r w:rsidDel="00000000" w:rsidR="00000000" w:rsidRPr="00000000">
        <w:rPr>
          <w:rFonts w:ascii="Calibri" w:cs="Calibri" w:eastAsia="Calibri" w:hAnsi="Calibri"/>
          <w:rtl w:val="0"/>
        </w:rPr>
        <w:t xml:space="preserve">Le GAENA : </w:t>
      </w:r>
      <w:hyperlink r:id="rId10">
        <w:r w:rsidDel="00000000" w:rsidR="00000000" w:rsidRPr="00000000">
          <w:rPr>
            <w:rFonts w:ascii="Calibri" w:cs="Calibri" w:eastAsia="Calibri" w:hAnsi="Calibri"/>
            <w:b w:val="1"/>
            <w:color w:val="0000ff"/>
            <w:u w:val="single"/>
            <w:rtl w:val="0"/>
          </w:rPr>
          <w:t xml:space="preserve">https://www.energethique.com</w:t>
        </w:r>
      </w:hyperlink>
      <w:r w:rsidDel="00000000" w:rsidR="00000000" w:rsidRPr="00000000">
        <w:rPr>
          <w:rtl w:val="0"/>
        </w:rPr>
      </w:r>
    </w:p>
    <w:sectPr>
      <w:pgSz w:h="16838" w:w="11906" w:orient="portrait"/>
      <w:pgMar w:bottom="567" w:top="567"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LNHB : Laboratoire National Henri Becquerel pour la métrologie de la dose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59D1"/>
    <w:rPr>
      <w:rFonts w:asciiTheme="minorHAnsi" w:cstheme="minorBidi" w:hAnsiTheme="minorHAnsi"/>
      <w:b w:val="0"/>
      <w:bCs w:val="0"/>
      <w:sz w:val="22"/>
      <w:szCs w:val="2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extedebulles">
    <w:name w:val="Balloon Text"/>
    <w:basedOn w:val="Normal"/>
    <w:link w:val="TextedebullesCar"/>
    <w:uiPriority w:val="99"/>
    <w:semiHidden w:val="1"/>
    <w:unhideWhenUsed w:val="1"/>
    <w:rsid w:val="006D56F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D56FA"/>
    <w:rPr>
      <w:rFonts w:ascii="Tahoma" w:cs="Tahoma" w:hAnsi="Tahoma"/>
      <w:b w:val="0"/>
      <w:bCs w:val="0"/>
      <w:sz w:val="16"/>
      <w:szCs w:val="16"/>
    </w:rPr>
  </w:style>
  <w:style w:type="paragraph" w:styleId="Paragraphedeliste">
    <w:name w:val="List Paragraph"/>
    <w:basedOn w:val="Normal"/>
    <w:uiPriority w:val="34"/>
    <w:qFormat w:val="1"/>
    <w:rsid w:val="007723C2"/>
    <w:pPr>
      <w:ind w:left="720"/>
      <w:contextualSpacing w:val="1"/>
    </w:pPr>
    <w:rPr>
      <w:rFonts w:ascii="Arial" w:cs="Times New Roman" w:hAnsi="Arial"/>
      <w:b w:val="1"/>
      <w:bCs w:val="1"/>
      <w:sz w:val="24"/>
      <w:szCs w:val="20"/>
    </w:rPr>
  </w:style>
  <w:style w:type="character" w:styleId="Lienhypertexte">
    <w:name w:val="Hyperlink"/>
    <w:basedOn w:val="Policepardfaut"/>
    <w:uiPriority w:val="99"/>
    <w:unhideWhenUsed w:val="1"/>
    <w:rsid w:val="00E8723E"/>
    <w:rPr>
      <w:color w:val="0000ff" w:themeColor="hyperlink"/>
      <w:u w:val="single"/>
    </w:rPr>
  </w:style>
  <w:style w:type="table" w:styleId="Grilledutableau">
    <w:name w:val="Table Grid"/>
    <w:basedOn w:val="TableauNormal"/>
    <w:uiPriority w:val="39"/>
    <w:rsid w:val="00FF5B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vision">
    <w:name w:val="Revision"/>
    <w:hidden w:val="1"/>
    <w:uiPriority w:val="99"/>
    <w:semiHidden w:val="1"/>
    <w:rsid w:val="00EC6C55"/>
    <w:pPr>
      <w:spacing w:after="0" w:line="240" w:lineRule="auto"/>
    </w:pPr>
    <w:rPr>
      <w:rFonts w:asciiTheme="minorHAnsi" w:cstheme="minorBidi" w:hAnsiTheme="minorHAnsi"/>
      <w:b w:val="0"/>
      <w:bCs w:val="0"/>
      <w:sz w:val="22"/>
      <w:szCs w:val="22"/>
    </w:rPr>
  </w:style>
  <w:style w:type="character" w:styleId="Marquedecommentaire">
    <w:name w:val="annotation reference"/>
    <w:basedOn w:val="Policepardfaut"/>
    <w:uiPriority w:val="99"/>
    <w:semiHidden w:val="1"/>
    <w:unhideWhenUsed w:val="1"/>
    <w:rsid w:val="00A61FC1"/>
    <w:rPr>
      <w:sz w:val="16"/>
      <w:szCs w:val="16"/>
    </w:rPr>
  </w:style>
  <w:style w:type="paragraph" w:styleId="Commentaire">
    <w:name w:val="annotation text"/>
    <w:basedOn w:val="Normal"/>
    <w:link w:val="CommentaireCar"/>
    <w:uiPriority w:val="99"/>
    <w:semiHidden w:val="1"/>
    <w:unhideWhenUsed w:val="1"/>
    <w:rsid w:val="00A61FC1"/>
    <w:pPr>
      <w:spacing w:line="240" w:lineRule="auto"/>
    </w:pPr>
    <w:rPr>
      <w:sz w:val="20"/>
      <w:szCs w:val="20"/>
    </w:rPr>
  </w:style>
  <w:style w:type="character" w:styleId="CommentaireCar" w:customStyle="1">
    <w:name w:val="Commentaire Car"/>
    <w:basedOn w:val="Policepardfaut"/>
    <w:link w:val="Commentaire"/>
    <w:uiPriority w:val="99"/>
    <w:semiHidden w:val="1"/>
    <w:rsid w:val="00A61FC1"/>
    <w:rPr>
      <w:rFonts w:asciiTheme="minorHAnsi" w:cstheme="minorBidi" w:hAnsiTheme="minorHAnsi"/>
      <w:b w:val="0"/>
      <w:bCs w:val="0"/>
      <w:sz w:val="20"/>
    </w:rPr>
  </w:style>
  <w:style w:type="paragraph" w:styleId="Objetducommentaire">
    <w:name w:val="annotation subject"/>
    <w:basedOn w:val="Commentaire"/>
    <w:next w:val="Commentaire"/>
    <w:link w:val="ObjetducommentaireCar"/>
    <w:uiPriority w:val="99"/>
    <w:semiHidden w:val="1"/>
    <w:unhideWhenUsed w:val="1"/>
    <w:rsid w:val="00A61FC1"/>
    <w:rPr>
      <w:b w:val="1"/>
      <w:bCs w:val="1"/>
    </w:rPr>
  </w:style>
  <w:style w:type="character" w:styleId="ObjetducommentaireCar" w:customStyle="1">
    <w:name w:val="Objet du commentaire Car"/>
    <w:basedOn w:val="CommentaireCar"/>
    <w:link w:val="Objetducommentaire"/>
    <w:uiPriority w:val="99"/>
    <w:semiHidden w:val="1"/>
    <w:rsid w:val="00A61FC1"/>
    <w:rPr>
      <w:rFonts w:asciiTheme="minorHAnsi" w:cstheme="minorBidi" w:hAnsiTheme="minorHAnsi"/>
      <w:b w:val="1"/>
      <w:bCs w:val="1"/>
      <w:sz w:val="20"/>
    </w:rPr>
  </w:style>
  <w:style w:type="character" w:styleId="Accentuation">
    <w:name w:val="Emphasis"/>
    <w:uiPriority w:val="20"/>
    <w:qFormat w:val="1"/>
    <w:rsid w:val="00615708"/>
    <w:rPr>
      <w:i w:val="1"/>
      <w:iCs w:val="1"/>
    </w:rPr>
  </w:style>
  <w:style w:type="character" w:styleId="lev">
    <w:name w:val="Strong"/>
    <w:uiPriority w:val="22"/>
    <w:qFormat w:val="1"/>
    <w:rsid w:val="00615708"/>
    <w:rPr>
      <w:b w:val="0"/>
      <w:bCs w:val="0"/>
    </w:rPr>
  </w:style>
  <w:style w:type="character" w:styleId="Mentionnonrsolue1" w:customStyle="1">
    <w:name w:val="Mention non résolue1"/>
    <w:basedOn w:val="Policepardfaut"/>
    <w:uiPriority w:val="99"/>
    <w:semiHidden w:val="1"/>
    <w:unhideWhenUsed w:val="1"/>
    <w:rsid w:val="00CD16B8"/>
    <w:rPr>
      <w:color w:val="605e5c"/>
      <w:shd w:color="auto" w:fill="e1dfdd" w:val="clear"/>
    </w:rPr>
  </w:style>
  <w:style w:type="paragraph" w:styleId="Notedebasdepage">
    <w:name w:val="footnote text"/>
    <w:basedOn w:val="Normal"/>
    <w:link w:val="NotedebasdepageCar"/>
    <w:rsid w:val="006D7045"/>
    <w:pPr>
      <w:spacing w:after="0" w:line="240" w:lineRule="auto"/>
      <w:jc w:val="both"/>
    </w:pPr>
    <w:rPr>
      <w:rFonts w:ascii="Times New Roman" w:cs="Times New Roman" w:eastAsia="Times New Roman" w:hAnsi="Times New Roman"/>
      <w:i w:val="1"/>
      <w:iCs w:val="1"/>
      <w:sz w:val="16"/>
      <w:szCs w:val="20"/>
      <w:lang w:eastAsia="fr-FR"/>
    </w:rPr>
  </w:style>
  <w:style w:type="character" w:styleId="NotedebasdepageCar" w:customStyle="1">
    <w:name w:val="Note de bas de page Car"/>
    <w:basedOn w:val="Policepardfaut"/>
    <w:link w:val="Notedebasdepage"/>
    <w:rsid w:val="006D7045"/>
    <w:rPr>
      <w:rFonts w:ascii="Times New Roman" w:eastAsia="Times New Roman" w:hAnsi="Times New Roman"/>
      <w:b w:val="0"/>
      <w:bCs w:val="0"/>
      <w:i w:val="1"/>
      <w:iCs w:val="1"/>
      <w:sz w:val="16"/>
      <w:lang w:eastAsia="fr-FR"/>
    </w:rPr>
  </w:style>
  <w:style w:type="character" w:styleId="Appelnotedebasdep">
    <w:name w:val="footnote reference"/>
    <w:rsid w:val="006D7045"/>
    <w:rPr>
      <w:rFonts w:ascii="Times New Roman" w:cs="Times New Roman" w:hAnsi="Times New Roman"/>
      <w:vertAlign w:val="superscript"/>
    </w:rPr>
  </w:style>
  <w:style w:type="paragraph" w:styleId="NormalGASN" w:customStyle="1">
    <w:name w:val="Normal GASN"/>
    <w:basedOn w:val="Normal"/>
    <w:rsid w:val="006D7045"/>
    <w:pPr>
      <w:spacing w:after="0" w:before="120" w:line="240" w:lineRule="auto"/>
      <w:ind w:left="-357"/>
      <w:jc w:val="both"/>
    </w:pPr>
    <w:rPr>
      <w:rFonts w:ascii="Arial" w:cs="Times New Roman" w:eastAsia="Times New Roman" w:hAnsi="Arial"/>
      <w:sz w:val="20"/>
      <w:szCs w:val="20"/>
      <w:lang w:eastAsia="fr-FR"/>
    </w:rPr>
  </w:style>
  <w:style w:type="paragraph" w:styleId="Sansinterligne">
    <w:name w:val="No Spacing"/>
    <w:basedOn w:val="Normal"/>
    <w:link w:val="SansinterligneCar"/>
    <w:uiPriority w:val="1"/>
    <w:qFormat w:val="1"/>
    <w:rsid w:val="00362CCD"/>
    <w:pPr>
      <w:spacing w:after="0" w:line="240" w:lineRule="auto"/>
    </w:pPr>
    <w:rPr>
      <w:rFonts w:ascii="Calibri" w:cs="Times New Roman" w:eastAsia="Times New Roman" w:hAnsi="Calibri"/>
      <w:lang w:bidi="en-US" w:val="en-US"/>
    </w:rPr>
  </w:style>
  <w:style w:type="character" w:styleId="SansinterligneCar" w:customStyle="1">
    <w:name w:val="Sans interligne Car"/>
    <w:basedOn w:val="Policepardfaut"/>
    <w:link w:val="Sansinterligne"/>
    <w:uiPriority w:val="1"/>
    <w:rsid w:val="00362CCD"/>
    <w:rPr>
      <w:rFonts w:ascii="Calibri" w:eastAsia="Times New Roman" w:hAnsi="Calibri"/>
      <w:b w:val="0"/>
      <w:bCs w:val="0"/>
      <w:sz w:val="22"/>
      <w:szCs w:val="22"/>
      <w:lang w:bidi="en-US" w:val="en-US"/>
    </w:rPr>
  </w:style>
  <w:style w:type="paragraph" w:styleId="corpsnormal" w:customStyle="1">
    <w:name w:val="corps_normal"/>
    <w:rsid w:val="00BA6FC2"/>
    <w:pPr>
      <w:spacing w:after="60" w:before="60" w:line="240" w:lineRule="auto"/>
      <w:ind w:firstLine="284"/>
      <w:jc w:val="both"/>
    </w:pPr>
    <w:rPr>
      <w:rFonts w:eastAsia="Times New Roman"/>
      <w:b w:val="0"/>
      <w:bCs w:val="0"/>
      <w:sz w:val="20"/>
      <w:lang w:eastAsia="fr-FR"/>
    </w:rPr>
  </w:style>
  <w:style w:type="character" w:styleId="Mentionnonrsolue2" w:customStyle="1">
    <w:name w:val="Mention non résolue2"/>
    <w:basedOn w:val="Policepardfaut"/>
    <w:uiPriority w:val="99"/>
    <w:semiHidden w:val="1"/>
    <w:unhideWhenUsed w:val="1"/>
    <w:rsid w:val="00693508"/>
    <w:rPr>
      <w:color w:val="605e5c"/>
      <w:shd w:color="auto" w:fill="e1dfdd" w:val="clear"/>
    </w:rPr>
  </w:style>
  <w:style w:type="paragraph" w:styleId="NormalWeb">
    <w:name w:val="Normal (Web)"/>
    <w:basedOn w:val="Normal"/>
    <w:uiPriority w:val="99"/>
    <w:unhideWhenUsed w:val="1"/>
    <w:rsid w:val="008C5180"/>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En-tte">
    <w:name w:val="header"/>
    <w:basedOn w:val="Normal"/>
    <w:link w:val="En-tteCar"/>
    <w:uiPriority w:val="99"/>
    <w:unhideWhenUsed w:val="1"/>
    <w:rsid w:val="00702EFC"/>
    <w:pPr>
      <w:tabs>
        <w:tab w:val="center" w:pos="4536"/>
        <w:tab w:val="right" w:pos="9072"/>
      </w:tabs>
      <w:spacing w:after="0" w:line="240" w:lineRule="auto"/>
    </w:pPr>
  </w:style>
  <w:style w:type="character" w:styleId="En-tteCar" w:customStyle="1">
    <w:name w:val="En-tête Car"/>
    <w:basedOn w:val="Policepardfaut"/>
    <w:link w:val="En-tte"/>
    <w:uiPriority w:val="99"/>
    <w:rsid w:val="00702EFC"/>
    <w:rPr>
      <w:rFonts w:asciiTheme="minorHAnsi" w:cstheme="minorBidi" w:hAnsiTheme="minorHAnsi"/>
      <w:b w:val="0"/>
      <w:bCs w:val="0"/>
      <w:sz w:val="22"/>
      <w:szCs w:val="22"/>
    </w:rPr>
  </w:style>
  <w:style w:type="paragraph" w:styleId="Pieddepage">
    <w:name w:val="footer"/>
    <w:basedOn w:val="Normal"/>
    <w:link w:val="PieddepageCar"/>
    <w:uiPriority w:val="99"/>
    <w:unhideWhenUsed w:val="1"/>
    <w:rsid w:val="00702EF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02EFC"/>
    <w:rPr>
      <w:rFonts w:asciiTheme="minorHAnsi" w:cstheme="minorBidi" w:hAnsiTheme="minorHAnsi"/>
      <w:b w:val="0"/>
      <w:bCs w:val="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www.energethique.com" TargetMode="Externa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wvxcPdFDOQPuh6I4ASJdTZw0Q==">CgMxLjA4AHIhMXVXT19zMUV4YmxrVHhxQzRnRHlkX1ZBY0x5UVZSWG9I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2025-02-10T14:51:00Z</dcterms:created>
  <dc:creator>nanie</dc:creator>
</cp:coreProperties>
</file>